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142"/>
        <w:gridCol w:w="2835"/>
      </w:tblGrid>
      <w:tr w:rsidR="00C562C8" w:rsidTr="00C562C8">
        <w:trPr>
          <w:gridAfter w:val="1"/>
          <w:wAfter w:w="2835" w:type="dxa"/>
          <w:cantSplit/>
          <w:trHeight w:val="5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62C8" w:rsidRDefault="00C562C8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REPORT 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62C8" w:rsidRDefault="00C562C8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</w:tr>
      <w:tr w:rsidR="00C562C8" w:rsidTr="00C562C8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2C8" w:rsidRDefault="00C562C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Licensing </w:t>
            </w:r>
            <w:r w:rsidR="00A61F2D">
              <w:rPr>
                <w:b/>
                <w:szCs w:val="22"/>
              </w:rPr>
              <w:t xml:space="preserve">Act </w:t>
            </w:r>
            <w:r>
              <w:rPr>
                <w:b/>
                <w:szCs w:val="22"/>
              </w:rPr>
              <w:t>Committee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2C8" w:rsidRDefault="00C562C8" w:rsidP="00A61F2D">
            <w:pPr>
              <w:jc w:val="center"/>
              <w:rPr>
                <w:b/>
              </w:rPr>
            </w:pPr>
            <w:r>
              <w:rPr>
                <w:b/>
              </w:rPr>
              <w:t>24 July 2018</w:t>
            </w:r>
          </w:p>
        </w:tc>
      </w:tr>
      <w:tr w:rsidR="00C562C8" w:rsidTr="00C562C8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2C8" w:rsidRDefault="00C562C8">
            <w:pPr>
              <w:jc w:val="right"/>
              <w:rPr>
                <w:sz w:val="8"/>
              </w:rPr>
            </w:pPr>
          </w:p>
        </w:tc>
      </w:tr>
      <w:tr w:rsidR="00C562C8" w:rsidTr="00C562C8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62C8" w:rsidRDefault="00C562C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62C8" w:rsidRDefault="00C562C8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C562C8" w:rsidTr="00C562C8">
        <w:trPr>
          <w:cantSplit/>
          <w:trHeight w:val="66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8" w:rsidRDefault="00CF122A">
            <w:pPr>
              <w:rPr>
                <w:b/>
              </w:rPr>
            </w:pPr>
            <w:r>
              <w:rPr>
                <w:b/>
              </w:rPr>
              <w:t>Centre Approval with the BIIAB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C8" w:rsidRDefault="00C562C8" w:rsidP="00A61F2D">
            <w:pPr>
              <w:jc w:val="center"/>
            </w:pPr>
            <w:r>
              <w:t>Head of Licensing</w:t>
            </w:r>
          </w:p>
        </w:tc>
      </w:tr>
    </w:tbl>
    <w:p w:rsidR="00C562C8" w:rsidRDefault="00C562C8" w:rsidP="00C562C8"/>
    <w:p w:rsidR="00C562C8" w:rsidRDefault="00C562C8" w:rsidP="00C562C8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C562C8" w:rsidTr="00C562C8"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szCs w:val="22"/>
              </w:rPr>
            </w:pPr>
          </w:p>
          <w:p w:rsidR="00C562C8" w:rsidRDefault="00C562C8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b/>
                <w:szCs w:val="22"/>
              </w:rPr>
            </w:pPr>
          </w:p>
          <w:p w:rsidR="00C562C8" w:rsidRDefault="00C562C8">
            <w:pPr>
              <w:rPr>
                <w:szCs w:val="22"/>
              </w:rPr>
            </w:pPr>
            <w:r>
              <w:rPr>
                <w:b/>
                <w:szCs w:val="22"/>
              </w:rPr>
              <w:t>No</w:t>
            </w:r>
          </w:p>
        </w:tc>
      </w:tr>
    </w:tbl>
    <w:p w:rsidR="00C562C8" w:rsidRDefault="00C562C8" w:rsidP="00C562C8">
      <w:pPr>
        <w:rPr>
          <w:sz w:val="16"/>
          <w:szCs w:val="16"/>
        </w:rPr>
      </w:pPr>
    </w:p>
    <w:p w:rsidR="00C562C8" w:rsidRDefault="00C562C8" w:rsidP="00C562C8">
      <w:pPr>
        <w:rPr>
          <w:sz w:val="16"/>
          <w:szCs w:val="16"/>
        </w:rPr>
      </w:pPr>
    </w:p>
    <w:p w:rsidR="00CF122A" w:rsidRPr="00CF122A" w:rsidRDefault="00C562C8" w:rsidP="00C562C8">
      <w:pPr>
        <w:keepNext/>
        <w:numPr>
          <w:ilvl w:val="0"/>
          <w:numId w:val="1"/>
        </w:numPr>
        <w:outlineLvl w:val="0"/>
        <w:rPr>
          <w:rFonts w:cs="Arial"/>
          <w:b/>
          <w:szCs w:val="22"/>
        </w:rPr>
      </w:pPr>
      <w:r>
        <w:rPr>
          <w:b/>
          <w:szCs w:val="22"/>
        </w:rPr>
        <w:t xml:space="preserve">PURPOSE OF THE REPORT </w:t>
      </w:r>
    </w:p>
    <w:p w:rsidR="00CF122A" w:rsidRDefault="00CF122A" w:rsidP="00CF122A">
      <w:pPr>
        <w:keepNext/>
        <w:outlineLvl w:val="0"/>
        <w:rPr>
          <w:b/>
          <w:szCs w:val="22"/>
        </w:rPr>
      </w:pPr>
    </w:p>
    <w:p w:rsidR="00C562C8" w:rsidRPr="00CF122A" w:rsidRDefault="00CF122A" w:rsidP="00CF122A">
      <w:pPr>
        <w:keepNext/>
        <w:outlineLvl w:val="0"/>
        <w:rPr>
          <w:rFonts w:cs="Arial"/>
          <w:szCs w:val="22"/>
        </w:rPr>
      </w:pPr>
      <w:r w:rsidRPr="00CF122A">
        <w:rPr>
          <w:szCs w:val="22"/>
        </w:rPr>
        <w:t>To provide a short brief on successfully obtaining Centre Ap</w:t>
      </w:r>
      <w:r>
        <w:rPr>
          <w:szCs w:val="22"/>
        </w:rPr>
        <w:t>proval to deliver the personal l</w:t>
      </w:r>
      <w:r w:rsidRPr="00CF122A">
        <w:rPr>
          <w:szCs w:val="22"/>
        </w:rPr>
        <w:t>icence Course</w:t>
      </w:r>
      <w:r w:rsidR="00C562C8" w:rsidRPr="00CF122A">
        <w:rPr>
          <w:szCs w:val="22"/>
        </w:rPr>
        <w:t xml:space="preserve"> </w:t>
      </w:r>
    </w:p>
    <w:p w:rsidR="00C562C8" w:rsidRDefault="00C562C8" w:rsidP="00C562C8">
      <w:pPr>
        <w:pStyle w:val="ListParagraph"/>
        <w:keepNext/>
        <w:ind w:left="360"/>
        <w:outlineLvl w:val="0"/>
      </w:pPr>
    </w:p>
    <w:p w:rsidR="00C562C8" w:rsidRDefault="00C562C8" w:rsidP="00C562C8">
      <w:pPr>
        <w:keepNext/>
        <w:outlineLvl w:val="0"/>
        <w:rPr>
          <w:rFonts w:cs="Arial"/>
          <w:b/>
        </w:rPr>
      </w:pPr>
      <w:r>
        <w:rPr>
          <w:rFonts w:cs="Arial"/>
          <w:b/>
        </w:rPr>
        <w:t>2   CORPORATE PRIORITIES</w:t>
      </w:r>
    </w:p>
    <w:p w:rsidR="00C562C8" w:rsidRDefault="00C562C8" w:rsidP="00C562C8">
      <w:pPr>
        <w:keepNext/>
        <w:outlineLvl w:val="0"/>
        <w:rPr>
          <w:rFonts w:cs="Arial"/>
          <w:b/>
          <w:szCs w:val="22"/>
        </w:rPr>
      </w:pPr>
    </w:p>
    <w:p w:rsidR="00C562C8" w:rsidRDefault="00C562C8" w:rsidP="00C562C8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>
        <w:rPr>
          <w:rFonts w:cs="Arial"/>
          <w:szCs w:val="22"/>
        </w:rPr>
        <w:t>The report relates to the following corporate priorities:</w:t>
      </w:r>
    </w:p>
    <w:p w:rsidR="00C562C8" w:rsidRDefault="00C562C8" w:rsidP="00C562C8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C562C8" w:rsidTr="00C562C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Excellence and Financial Sustainability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C8" w:rsidRDefault="00C562C8">
            <w:pPr>
              <w:rPr>
                <w:rFonts w:cs="Arial"/>
                <w:szCs w:val="22"/>
                <w:highlight w:val="yellow"/>
              </w:rPr>
            </w:pPr>
            <w:r w:rsidRPr="00A61F2D">
              <w:rPr>
                <w:rFonts w:cs="Arial"/>
                <w:szCs w:val="22"/>
              </w:rPr>
              <w:t>x</w:t>
            </w:r>
          </w:p>
        </w:tc>
      </w:tr>
      <w:tr w:rsidR="00C562C8" w:rsidTr="00C562C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Health and Wellbeing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C562C8" w:rsidTr="00C562C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szCs w:val="22"/>
              </w:rPr>
            </w:pPr>
          </w:p>
        </w:tc>
      </w:tr>
    </w:tbl>
    <w:p w:rsidR="00C562C8" w:rsidRDefault="00C562C8" w:rsidP="00C562C8">
      <w:pPr>
        <w:rPr>
          <w:rFonts w:cs="Arial"/>
          <w:szCs w:val="22"/>
        </w:rPr>
      </w:pPr>
    </w:p>
    <w:p w:rsidR="00C562C8" w:rsidRDefault="00C562C8" w:rsidP="00C562C8">
      <w:pPr>
        <w:ind w:firstLine="720"/>
      </w:pPr>
      <w:r>
        <w:t>Projects relating to People in the Corporate Plan:</w:t>
      </w:r>
    </w:p>
    <w:p w:rsidR="00C562C8" w:rsidRDefault="00C562C8" w:rsidP="00C562C8">
      <w:pPr>
        <w:ind w:firstLine="720"/>
      </w:pP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850"/>
      </w:tblGrid>
      <w:tr w:rsidR="00C562C8" w:rsidTr="00C562C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C8" w:rsidRDefault="00C562C8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:rsidR="00C562C8" w:rsidRDefault="00C562C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C8" w:rsidRDefault="00C562C8">
            <w:pPr>
              <w:rPr>
                <w:szCs w:val="22"/>
              </w:rPr>
            </w:pPr>
          </w:p>
        </w:tc>
      </w:tr>
    </w:tbl>
    <w:p w:rsidR="00C562C8" w:rsidRDefault="00C562C8" w:rsidP="00C562C8">
      <w:pPr>
        <w:rPr>
          <w:rFonts w:cs="Arial"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562C8" w:rsidP="00C562C8">
      <w:pPr>
        <w:rPr>
          <w:rFonts w:cs="Arial"/>
          <w:b/>
        </w:rPr>
      </w:pPr>
      <w:r>
        <w:rPr>
          <w:rFonts w:cs="Arial"/>
          <w:b/>
        </w:rPr>
        <w:t>3. RECOMMENDATIONS</w:t>
      </w:r>
    </w:p>
    <w:p w:rsidR="00C562C8" w:rsidRDefault="00C562C8" w:rsidP="00C562C8">
      <w:pPr>
        <w:rPr>
          <w:rFonts w:cs="Arial"/>
          <w:b/>
        </w:rPr>
      </w:pPr>
    </w:p>
    <w:p w:rsidR="00C562C8" w:rsidRDefault="00CF122A" w:rsidP="00C562C8">
      <w:pPr>
        <w:rPr>
          <w:szCs w:val="22"/>
        </w:rPr>
      </w:pPr>
      <w:r>
        <w:rPr>
          <w:szCs w:val="22"/>
        </w:rPr>
        <w:t>For the contents of the report to be noted</w:t>
      </w:r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4.   BACKGROUND TO THE REPORT</w:t>
      </w:r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F122A" w:rsidP="00C562C8">
      <w:pPr>
        <w:rPr>
          <w:rFonts w:cs="Arial"/>
          <w:b/>
          <w:szCs w:val="22"/>
        </w:rPr>
      </w:pPr>
      <w:r>
        <w:rPr>
          <w:rFonts w:cs="Arial"/>
          <w:szCs w:val="22"/>
        </w:rPr>
        <w:t>The Licensing Service recently applied to the BIIAB (British Institute of Innkeepers) to become a training provider for the personal licence qualification which is a mandatory requirement for anyone wishing to apply for a personal licence</w:t>
      </w:r>
      <w:r w:rsidR="00D452F0">
        <w:rPr>
          <w:rFonts w:cs="Arial"/>
          <w:szCs w:val="22"/>
        </w:rPr>
        <w:t>.</w:t>
      </w:r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562C8" w:rsidP="00C562C8">
      <w:pPr>
        <w:tabs>
          <w:tab w:val="left" w:pos="709"/>
        </w:tabs>
      </w:pPr>
    </w:p>
    <w:p w:rsidR="00C562C8" w:rsidRDefault="00C562C8" w:rsidP="00C562C8">
      <w:pPr>
        <w:pStyle w:val="BodyTextIndent"/>
        <w:ind w:left="705" w:hanging="705"/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</w:r>
      <w:r w:rsidR="00CF122A">
        <w:rPr>
          <w:sz w:val="22"/>
        </w:rPr>
        <w:t>Extensive</w:t>
      </w:r>
      <w:r w:rsidR="006B237D">
        <w:rPr>
          <w:sz w:val="22"/>
        </w:rPr>
        <w:t xml:space="preserve"> p</w:t>
      </w:r>
      <w:r w:rsidR="00CF122A">
        <w:rPr>
          <w:sz w:val="22"/>
        </w:rPr>
        <w:t xml:space="preserve">olicies and </w:t>
      </w:r>
      <w:r w:rsidR="006B237D">
        <w:rPr>
          <w:sz w:val="22"/>
        </w:rPr>
        <w:t>p</w:t>
      </w:r>
      <w:r w:rsidR="00CF122A">
        <w:rPr>
          <w:sz w:val="22"/>
        </w:rPr>
        <w:t>rocedures are required by any applicant which are strictly measured against set criteria. A BII auditor visited the Offices on the 20</w:t>
      </w:r>
      <w:r w:rsidR="00CF122A" w:rsidRPr="00CF122A">
        <w:rPr>
          <w:sz w:val="22"/>
          <w:vertAlign w:val="superscript"/>
        </w:rPr>
        <w:t>th</w:t>
      </w:r>
      <w:r w:rsidR="00CF122A">
        <w:rPr>
          <w:sz w:val="22"/>
        </w:rPr>
        <w:t xml:space="preserve"> June 2018.</w:t>
      </w:r>
      <w:r>
        <w:rPr>
          <w:sz w:val="22"/>
        </w:rPr>
        <w:t xml:space="preserve"> </w:t>
      </w:r>
    </w:p>
    <w:p w:rsidR="00C562C8" w:rsidRDefault="00C562C8" w:rsidP="00C562C8">
      <w:pPr>
        <w:pStyle w:val="BodyTextIndent"/>
        <w:ind w:left="0" w:firstLine="0"/>
        <w:rPr>
          <w:sz w:val="22"/>
        </w:rPr>
      </w:pPr>
    </w:p>
    <w:p w:rsidR="00C562C8" w:rsidRDefault="00C562C8" w:rsidP="00C562C8">
      <w:pPr>
        <w:pStyle w:val="BodyTextIndent"/>
        <w:ind w:left="705" w:hanging="705"/>
        <w:rPr>
          <w:sz w:val="22"/>
        </w:rPr>
      </w:pPr>
      <w:r>
        <w:rPr>
          <w:sz w:val="22"/>
        </w:rPr>
        <w:lastRenderedPageBreak/>
        <w:t>4.2</w:t>
      </w:r>
      <w:r>
        <w:rPr>
          <w:sz w:val="22"/>
        </w:rPr>
        <w:tab/>
      </w:r>
      <w:r w:rsidR="00CF122A">
        <w:rPr>
          <w:sz w:val="22"/>
        </w:rPr>
        <w:t>On the 28</w:t>
      </w:r>
      <w:r w:rsidR="00CF122A" w:rsidRPr="00CF122A">
        <w:rPr>
          <w:sz w:val="22"/>
          <w:vertAlign w:val="superscript"/>
        </w:rPr>
        <w:t>th</w:t>
      </w:r>
      <w:r w:rsidR="00CF122A">
        <w:rPr>
          <w:sz w:val="22"/>
        </w:rPr>
        <w:t xml:space="preserve"> June 2018 the BII confirmed in writing that South Ribble </w:t>
      </w:r>
      <w:r w:rsidR="00D452F0">
        <w:rPr>
          <w:sz w:val="22"/>
        </w:rPr>
        <w:t xml:space="preserve">Borough Council </w:t>
      </w:r>
      <w:r w:rsidR="00CF122A">
        <w:rPr>
          <w:sz w:val="22"/>
        </w:rPr>
        <w:t>had been given Centre Approval which now gives the opportunity to deliver the training.</w:t>
      </w:r>
    </w:p>
    <w:p w:rsidR="00C562C8" w:rsidRDefault="00C562C8" w:rsidP="00C562C8">
      <w:pPr>
        <w:pStyle w:val="BodyTextIndent"/>
        <w:ind w:left="0" w:firstLine="0"/>
        <w:rPr>
          <w:sz w:val="22"/>
        </w:rPr>
      </w:pPr>
    </w:p>
    <w:p w:rsidR="00CF122A" w:rsidRDefault="00C562C8" w:rsidP="00C562C8">
      <w:pPr>
        <w:pStyle w:val="BodyTextIndent"/>
        <w:ind w:left="705" w:hanging="705"/>
        <w:rPr>
          <w:sz w:val="22"/>
        </w:rPr>
      </w:pPr>
      <w:r>
        <w:rPr>
          <w:sz w:val="22"/>
        </w:rPr>
        <w:t>4.3</w:t>
      </w:r>
      <w:r>
        <w:rPr>
          <w:sz w:val="22"/>
        </w:rPr>
        <w:tab/>
      </w:r>
      <w:r w:rsidR="00CF122A">
        <w:rPr>
          <w:sz w:val="22"/>
        </w:rPr>
        <w:t>The training will ensure that a decent standard of knowledge is installed into new applicants who may go onto operate premises in the Borough</w:t>
      </w:r>
      <w:r w:rsidR="00D452F0">
        <w:rPr>
          <w:sz w:val="22"/>
        </w:rPr>
        <w:t>.</w:t>
      </w:r>
      <w:r w:rsidR="00CF122A">
        <w:rPr>
          <w:sz w:val="22"/>
        </w:rPr>
        <w:t xml:space="preserve">, </w:t>
      </w:r>
      <w:r w:rsidR="00D452F0">
        <w:rPr>
          <w:sz w:val="22"/>
        </w:rPr>
        <w:t>I</w:t>
      </w:r>
      <w:r w:rsidR="00CF122A">
        <w:rPr>
          <w:sz w:val="22"/>
        </w:rPr>
        <w:t xml:space="preserve">n addition it is a mark of excellence that the Council </w:t>
      </w:r>
      <w:r w:rsidR="00D452F0">
        <w:rPr>
          <w:sz w:val="22"/>
        </w:rPr>
        <w:t>has</w:t>
      </w:r>
      <w:r w:rsidR="00CF122A">
        <w:rPr>
          <w:sz w:val="22"/>
        </w:rPr>
        <w:t xml:space="preserve"> achieve</w:t>
      </w:r>
      <w:r w:rsidR="00D452F0">
        <w:rPr>
          <w:sz w:val="22"/>
        </w:rPr>
        <w:t>d</w:t>
      </w:r>
      <w:r w:rsidR="00CF122A">
        <w:rPr>
          <w:sz w:val="22"/>
        </w:rPr>
        <w:t xml:space="preserve"> Centre Approval Status and also gives us the opportunity to offer the course throughout the region and increase revenue coming into the Authority.</w:t>
      </w:r>
    </w:p>
    <w:p w:rsidR="00D452F0" w:rsidRDefault="00D452F0" w:rsidP="00C562C8">
      <w:pPr>
        <w:pStyle w:val="BodyTextIndent"/>
        <w:ind w:left="705" w:hanging="705"/>
        <w:rPr>
          <w:sz w:val="22"/>
        </w:rPr>
      </w:pPr>
    </w:p>
    <w:p w:rsidR="006B237D" w:rsidRDefault="00C562C8" w:rsidP="00C562C8">
      <w:pPr>
        <w:ind w:left="705" w:hanging="705"/>
      </w:pPr>
      <w:r>
        <w:t>4.4</w:t>
      </w:r>
      <w:r>
        <w:tab/>
        <w:t xml:space="preserve">The </w:t>
      </w:r>
      <w:r w:rsidR="006B237D">
        <w:t>dates of the course have been booked in advance and marketing will begin in earnest. The dates proposed are;</w:t>
      </w:r>
    </w:p>
    <w:p w:rsidR="006B237D" w:rsidRDefault="006B237D" w:rsidP="00C562C8">
      <w:pPr>
        <w:ind w:left="705" w:hanging="705"/>
      </w:pPr>
    </w:p>
    <w:p w:rsidR="006B237D" w:rsidRDefault="006B237D" w:rsidP="006B237D">
      <w:pPr>
        <w:rPr>
          <w:rFonts w:ascii="Calibri" w:hAnsi="Calibri"/>
        </w:rPr>
      </w:pPr>
      <w:r>
        <w:t>27</w:t>
      </w:r>
      <w:r>
        <w:rPr>
          <w:vertAlign w:val="superscript"/>
        </w:rPr>
        <w:t>th</w:t>
      </w:r>
      <w:r>
        <w:t xml:space="preserve"> September 2018</w:t>
      </w:r>
    </w:p>
    <w:p w:rsidR="006B237D" w:rsidRDefault="006B237D" w:rsidP="006B237D">
      <w:r>
        <w:t>25</w:t>
      </w:r>
      <w:r>
        <w:rPr>
          <w:vertAlign w:val="superscript"/>
        </w:rPr>
        <w:t>th</w:t>
      </w:r>
      <w:r>
        <w:t xml:space="preserve"> October 2018</w:t>
      </w:r>
    </w:p>
    <w:p w:rsidR="006B237D" w:rsidRDefault="006B237D" w:rsidP="006B237D">
      <w:r>
        <w:t>29</w:t>
      </w:r>
      <w:r>
        <w:rPr>
          <w:vertAlign w:val="superscript"/>
        </w:rPr>
        <w:t>th</w:t>
      </w:r>
      <w:r>
        <w:t xml:space="preserve"> November 2018</w:t>
      </w:r>
    </w:p>
    <w:p w:rsidR="006B237D" w:rsidRDefault="006B237D" w:rsidP="006B237D">
      <w:r>
        <w:t>20</w:t>
      </w:r>
      <w:r>
        <w:rPr>
          <w:vertAlign w:val="superscript"/>
        </w:rPr>
        <w:t>th</w:t>
      </w:r>
      <w:r>
        <w:t xml:space="preserve"> December 2028</w:t>
      </w:r>
    </w:p>
    <w:p w:rsidR="006B237D" w:rsidRDefault="006B237D" w:rsidP="006B237D">
      <w:r>
        <w:t>24</w:t>
      </w:r>
      <w:r>
        <w:rPr>
          <w:vertAlign w:val="superscript"/>
        </w:rPr>
        <w:t>th</w:t>
      </w:r>
      <w:r>
        <w:t xml:space="preserve"> January 2019</w:t>
      </w:r>
    </w:p>
    <w:p w:rsidR="006B237D" w:rsidRDefault="006B237D" w:rsidP="006B237D">
      <w:r>
        <w:t>21</w:t>
      </w:r>
      <w:r>
        <w:rPr>
          <w:vertAlign w:val="superscript"/>
        </w:rPr>
        <w:t>st</w:t>
      </w:r>
      <w:r>
        <w:t xml:space="preserve"> February 2019</w:t>
      </w:r>
    </w:p>
    <w:p w:rsidR="006B237D" w:rsidRDefault="006B237D" w:rsidP="006B237D">
      <w:r>
        <w:t>28</w:t>
      </w:r>
      <w:r>
        <w:rPr>
          <w:vertAlign w:val="superscript"/>
        </w:rPr>
        <w:t>th</w:t>
      </w:r>
      <w:r>
        <w:t xml:space="preserve"> March 2019</w:t>
      </w:r>
    </w:p>
    <w:p w:rsidR="006B237D" w:rsidRDefault="006B237D" w:rsidP="006B237D">
      <w:r>
        <w:t>25</w:t>
      </w:r>
      <w:r>
        <w:rPr>
          <w:vertAlign w:val="superscript"/>
        </w:rPr>
        <w:t>th</w:t>
      </w:r>
      <w:r>
        <w:t xml:space="preserve"> April 2019</w:t>
      </w:r>
    </w:p>
    <w:p w:rsidR="006B237D" w:rsidRDefault="006B237D" w:rsidP="006B237D">
      <w:r>
        <w:t>30</w:t>
      </w:r>
      <w:r>
        <w:rPr>
          <w:vertAlign w:val="superscript"/>
        </w:rPr>
        <w:t>th</w:t>
      </w:r>
      <w:r>
        <w:t xml:space="preserve"> May 2019</w:t>
      </w:r>
    </w:p>
    <w:p w:rsidR="006B237D" w:rsidRDefault="006B237D" w:rsidP="006B237D">
      <w:r>
        <w:t>27</w:t>
      </w:r>
      <w:r>
        <w:rPr>
          <w:vertAlign w:val="superscript"/>
        </w:rPr>
        <w:t>th</w:t>
      </w:r>
      <w:r>
        <w:t xml:space="preserve"> June 2019</w:t>
      </w:r>
    </w:p>
    <w:p w:rsidR="006B237D" w:rsidRDefault="006B237D" w:rsidP="006B237D">
      <w:r>
        <w:t>25</w:t>
      </w:r>
      <w:r>
        <w:rPr>
          <w:vertAlign w:val="superscript"/>
        </w:rPr>
        <w:t>th</w:t>
      </w:r>
      <w:r>
        <w:t xml:space="preserve"> July 2019</w:t>
      </w:r>
    </w:p>
    <w:p w:rsidR="006B237D" w:rsidRDefault="006B237D" w:rsidP="006B237D">
      <w:r>
        <w:t>29</w:t>
      </w:r>
      <w:r>
        <w:rPr>
          <w:vertAlign w:val="superscript"/>
        </w:rPr>
        <w:t>th</w:t>
      </w:r>
      <w:r>
        <w:t xml:space="preserve"> August 2019</w:t>
      </w:r>
    </w:p>
    <w:p w:rsidR="006B237D" w:rsidRDefault="006B237D" w:rsidP="006B237D"/>
    <w:p w:rsidR="00C562C8" w:rsidRDefault="00C562C8" w:rsidP="00C562C8">
      <w:pPr>
        <w:tabs>
          <w:tab w:val="left" w:pos="709"/>
        </w:tabs>
        <w:ind w:left="709" w:hanging="709"/>
      </w:pPr>
      <w:r>
        <w:tab/>
      </w:r>
    </w:p>
    <w:p w:rsidR="00C562C8" w:rsidRDefault="00C562C8" w:rsidP="00C562C8">
      <w:pPr>
        <w:rPr>
          <w:rFonts w:cs="Arial"/>
          <w:b/>
          <w:color w:val="000000"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5.    </w:t>
      </w:r>
      <w:r>
        <w:rPr>
          <w:rFonts w:cs="Arial"/>
          <w:b/>
          <w:caps/>
          <w:szCs w:val="22"/>
        </w:rPr>
        <w:t>Financial implications</w:t>
      </w:r>
    </w:p>
    <w:p w:rsidR="00C562C8" w:rsidRDefault="00C562C8" w:rsidP="00C562C8">
      <w:pPr>
        <w:ind w:left="567"/>
        <w:rPr>
          <w:rFonts w:cs="Arial"/>
          <w:b/>
          <w:caps/>
          <w:szCs w:val="22"/>
        </w:rPr>
      </w:pPr>
    </w:p>
    <w:p w:rsidR="00983DB0" w:rsidRDefault="00C562C8" w:rsidP="00983DB0">
      <w:pPr>
        <w:ind w:left="426" w:hanging="426"/>
        <w:rPr>
          <w:rFonts w:cs="Arial"/>
          <w:b/>
          <w:szCs w:val="22"/>
        </w:rPr>
      </w:pPr>
      <w:r>
        <w:rPr>
          <w:rFonts w:cs="Arial"/>
        </w:rPr>
        <w:t xml:space="preserve">5.1 </w:t>
      </w:r>
      <w:r w:rsidR="00983DB0">
        <w:rPr>
          <w:rFonts w:cs="Arial"/>
        </w:rPr>
        <w:t>Delivering the training will generate income for Council although it is difficult to estimate exactly how much at this early stage.  The fee is £120 per applicant, though there will be some costs of delivery to be deducted.  Once the courses begin we will be able to have a clearer idea of the level of demand and b</w:t>
      </w:r>
      <w:r w:rsidR="00983DB0">
        <w:rPr>
          <w:rFonts w:cs="Arial"/>
        </w:rPr>
        <w:t xml:space="preserve">e able to set a suitable income </w:t>
      </w:r>
      <w:r w:rsidR="00983DB0">
        <w:rPr>
          <w:rFonts w:cs="Arial"/>
        </w:rPr>
        <w:t>target.</w:t>
      </w:r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562C8" w:rsidP="00C562C8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6.    LEGAL IMPLICATIONS</w:t>
      </w:r>
    </w:p>
    <w:p w:rsidR="00D452F0" w:rsidRDefault="00D452F0" w:rsidP="00C562C8">
      <w:pPr>
        <w:rPr>
          <w:rFonts w:cs="Arial"/>
          <w:b/>
          <w:caps/>
          <w:szCs w:val="22"/>
        </w:rPr>
      </w:pPr>
    </w:p>
    <w:p w:rsidR="00D452F0" w:rsidRDefault="00D452F0" w:rsidP="00D452F0">
      <w:r>
        <w:t>There are no direct legal implications in this report.</w:t>
      </w:r>
    </w:p>
    <w:p w:rsidR="00C562C8" w:rsidRDefault="00C562C8" w:rsidP="00C562C8">
      <w:pPr>
        <w:rPr>
          <w:rFonts w:cs="Arial"/>
          <w:caps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7.  COMMENTS OF THE STATUTORY FINANCE OFFICER</w:t>
      </w:r>
    </w:p>
    <w:p w:rsidR="00C562C8" w:rsidRDefault="00C562C8" w:rsidP="00C562C8">
      <w:pPr>
        <w:rPr>
          <w:rFonts w:cs="Arial"/>
          <w:b/>
          <w:szCs w:val="22"/>
        </w:rPr>
      </w:pPr>
    </w:p>
    <w:p w:rsidR="00983DB0" w:rsidRDefault="00983DB0" w:rsidP="00C562C8">
      <w:pPr>
        <w:rPr>
          <w:rFonts w:cs="Arial"/>
          <w:b/>
          <w:szCs w:val="22"/>
        </w:rPr>
      </w:pPr>
      <w:r>
        <w:rPr>
          <w:rFonts w:cs="Arial"/>
          <w:szCs w:val="22"/>
        </w:rPr>
        <w:t>No further comments other than those in section 5.</w:t>
      </w:r>
      <w:bookmarkStart w:id="0" w:name="_GoBack"/>
      <w:bookmarkEnd w:id="0"/>
    </w:p>
    <w:p w:rsidR="00C562C8" w:rsidRDefault="00C562C8" w:rsidP="00C562C8">
      <w:pPr>
        <w:rPr>
          <w:rFonts w:cs="Arial"/>
          <w:b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9.  COMMENTS OF THE MONITORING OFFICER</w:t>
      </w:r>
    </w:p>
    <w:p w:rsidR="00C562C8" w:rsidRDefault="00C562C8" w:rsidP="00C562C8">
      <w:pPr>
        <w:rPr>
          <w:rFonts w:cs="Arial"/>
          <w:b/>
          <w:szCs w:val="22"/>
        </w:rPr>
      </w:pPr>
    </w:p>
    <w:p w:rsidR="00D452F0" w:rsidRDefault="00D452F0" w:rsidP="00C56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It is a great achievement to have been approved as a training provider by an external body.  This is an indication that the service is continuing to achieve high standards.</w:t>
      </w:r>
    </w:p>
    <w:p w:rsidR="00C562C8" w:rsidRDefault="00C562C8" w:rsidP="00C562C8">
      <w:pPr>
        <w:ind w:left="567" w:hanging="567"/>
        <w:rPr>
          <w:rFonts w:cs="Arial"/>
          <w:b/>
          <w:strike/>
          <w:szCs w:val="22"/>
        </w:rPr>
      </w:pPr>
    </w:p>
    <w:p w:rsidR="00C562C8" w:rsidRDefault="00C562C8" w:rsidP="00C562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10.  OTHER IMPLICATIONS: </w:t>
      </w:r>
    </w:p>
    <w:p w:rsidR="00C562C8" w:rsidRDefault="00C562C8" w:rsidP="00C562C8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C562C8" w:rsidTr="00C562C8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b/>
                <w:szCs w:val="22"/>
              </w:rPr>
            </w:pPr>
          </w:p>
          <w:p w:rsidR="00C562C8" w:rsidRDefault="00C562C8" w:rsidP="003A712E">
            <w:pPr>
              <w:numPr>
                <w:ilvl w:val="0"/>
                <w:numId w:val="2"/>
              </w:numPr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:rsidR="00C562C8" w:rsidRDefault="00C562C8">
            <w:pPr>
              <w:ind w:left="360"/>
              <w:rPr>
                <w:rFonts w:cs="Arial"/>
                <w:b/>
                <w:szCs w:val="22"/>
              </w:rPr>
            </w:pPr>
          </w:p>
          <w:p w:rsidR="00C562C8" w:rsidRDefault="00C562C8" w:rsidP="003A712E">
            <w:pPr>
              <w:numPr>
                <w:ilvl w:val="0"/>
                <w:numId w:val="2"/>
              </w:numPr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ICT / Technology</w:t>
            </w:r>
          </w:p>
          <w:p w:rsidR="00C562C8" w:rsidRDefault="00C562C8">
            <w:pPr>
              <w:ind w:left="360"/>
              <w:rPr>
                <w:rFonts w:cs="Arial"/>
                <w:b/>
                <w:szCs w:val="22"/>
              </w:rPr>
            </w:pPr>
          </w:p>
          <w:p w:rsidR="00C562C8" w:rsidRDefault="00C562C8">
            <w:pPr>
              <w:rPr>
                <w:rFonts w:cs="Arial"/>
                <w:b/>
                <w:szCs w:val="22"/>
              </w:rPr>
            </w:pPr>
          </w:p>
          <w:p w:rsidR="00C562C8" w:rsidRDefault="00C562C8" w:rsidP="003A712E">
            <w:pPr>
              <w:numPr>
                <w:ilvl w:val="0"/>
                <w:numId w:val="2"/>
              </w:numPr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Property &amp; Asset Management</w:t>
            </w:r>
          </w:p>
          <w:p w:rsidR="00C562C8" w:rsidRDefault="00C562C8">
            <w:pPr>
              <w:ind w:left="360"/>
              <w:rPr>
                <w:rFonts w:cs="Arial"/>
                <w:b/>
                <w:szCs w:val="22"/>
              </w:rPr>
            </w:pPr>
          </w:p>
          <w:p w:rsidR="00C562C8" w:rsidRDefault="00C562C8">
            <w:pPr>
              <w:ind w:left="360"/>
              <w:rPr>
                <w:rFonts w:cs="Arial"/>
                <w:b/>
                <w:szCs w:val="22"/>
              </w:rPr>
            </w:pPr>
          </w:p>
          <w:p w:rsidR="00C562C8" w:rsidRDefault="00C562C8">
            <w:pPr>
              <w:pStyle w:val="ListParagraph"/>
              <w:rPr>
                <w:rFonts w:cs="Arial"/>
                <w:b/>
              </w:rPr>
            </w:pPr>
          </w:p>
          <w:p w:rsidR="00C562C8" w:rsidRDefault="00C562C8" w:rsidP="003A712E">
            <w:pPr>
              <w:numPr>
                <w:ilvl w:val="0"/>
                <w:numId w:val="2"/>
              </w:numPr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Risk </w:t>
            </w:r>
          </w:p>
          <w:p w:rsidR="00C562C8" w:rsidRDefault="00C562C8">
            <w:pPr>
              <w:pStyle w:val="ListParagraph"/>
              <w:spacing w:line="240" w:lineRule="auto"/>
              <w:rPr>
                <w:rFonts w:ascii="Arial" w:hAnsi="Arial" w:cs="Arial"/>
                <w:b/>
              </w:rPr>
            </w:pPr>
          </w:p>
          <w:p w:rsidR="00C562C8" w:rsidRDefault="00C562C8">
            <w:pPr>
              <w:ind w:left="360"/>
              <w:rPr>
                <w:rFonts w:cs="Arial"/>
                <w:b/>
                <w:szCs w:val="22"/>
              </w:rPr>
            </w:pPr>
          </w:p>
          <w:p w:rsidR="00C562C8" w:rsidRDefault="00C562C8">
            <w:pPr>
              <w:rPr>
                <w:rFonts w:cs="Arial"/>
                <w:b/>
                <w:szCs w:val="22"/>
              </w:rPr>
            </w:pPr>
          </w:p>
          <w:p w:rsidR="00C562C8" w:rsidRDefault="00C562C8">
            <w:pPr>
              <w:rPr>
                <w:rFonts w:cs="Arial"/>
                <w:b/>
                <w:szCs w:val="22"/>
              </w:rPr>
            </w:pPr>
          </w:p>
          <w:p w:rsidR="00C562C8" w:rsidRDefault="00C562C8" w:rsidP="003A712E">
            <w:pPr>
              <w:numPr>
                <w:ilvl w:val="0"/>
                <w:numId w:val="2"/>
              </w:numPr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Equality &amp; Diversity </w:t>
            </w:r>
          </w:p>
          <w:p w:rsidR="00C562C8" w:rsidRDefault="00C562C8">
            <w:pPr>
              <w:rPr>
                <w:rFonts w:cs="Arial"/>
                <w:b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None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None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None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D452F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None identified</w:t>
            </w:r>
          </w:p>
          <w:p w:rsidR="00C562C8" w:rsidRDefault="00C562C8">
            <w:pPr>
              <w:rPr>
                <w:rFonts w:cs="Arial"/>
                <w:szCs w:val="22"/>
              </w:rPr>
            </w:pPr>
          </w:p>
          <w:p w:rsidR="00C562C8" w:rsidRDefault="00C562C8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>
              <w:rPr>
                <w:rFonts w:cs="Arial"/>
                <w:szCs w:val="22"/>
              </w:rPr>
              <w:t>None</w:t>
            </w:r>
          </w:p>
        </w:tc>
      </w:tr>
    </w:tbl>
    <w:p w:rsidR="00C562C8" w:rsidRDefault="00C562C8" w:rsidP="00C562C8">
      <w:pPr>
        <w:rPr>
          <w:b/>
          <w:szCs w:val="22"/>
        </w:rPr>
      </w:pPr>
    </w:p>
    <w:p w:rsidR="00C562C8" w:rsidRDefault="00C562C8" w:rsidP="00C562C8">
      <w:pPr>
        <w:rPr>
          <w:b/>
          <w:szCs w:val="22"/>
        </w:rPr>
      </w:pPr>
    </w:p>
    <w:p w:rsidR="00C562C8" w:rsidRDefault="00C562C8" w:rsidP="00C562C8">
      <w:pPr>
        <w:rPr>
          <w:szCs w:val="22"/>
        </w:rPr>
      </w:pPr>
    </w:p>
    <w:p w:rsidR="00C562C8" w:rsidRDefault="00C562C8" w:rsidP="00C562C8">
      <w:pPr>
        <w:rPr>
          <w:i/>
          <w:color w:val="0070C0"/>
          <w:szCs w:val="22"/>
        </w:rPr>
      </w:pPr>
    </w:p>
    <w:p w:rsidR="00C562C8" w:rsidRDefault="00C562C8" w:rsidP="00C562C8">
      <w:pPr>
        <w:rPr>
          <w:i/>
          <w:color w:val="0070C0"/>
          <w:szCs w:val="22"/>
        </w:rPr>
      </w:pPr>
    </w:p>
    <w:p w:rsidR="00C562C8" w:rsidRDefault="00C562C8" w:rsidP="00C562C8">
      <w:pPr>
        <w:rPr>
          <w:b/>
        </w:rPr>
      </w:pPr>
      <w:r>
        <w:rPr>
          <w:b/>
        </w:rPr>
        <w:t xml:space="preserve">11. APPENDICES </w:t>
      </w:r>
    </w:p>
    <w:p w:rsidR="000A3CED" w:rsidRDefault="000A3CED" w:rsidP="00C562C8">
      <w:pPr>
        <w:rPr>
          <w:b/>
        </w:rPr>
      </w:pPr>
    </w:p>
    <w:p w:rsidR="000A3CED" w:rsidRDefault="000A3CED" w:rsidP="00C562C8">
      <w:pPr>
        <w:rPr>
          <w:b/>
        </w:rPr>
      </w:pPr>
      <w:r>
        <w:rPr>
          <w:b/>
        </w:rPr>
        <w:t>Appendix A- Copy of Marketing Flyer</w:t>
      </w:r>
    </w:p>
    <w:p w:rsidR="009C2401" w:rsidRDefault="009C2401" w:rsidP="00C562C8">
      <w:pPr>
        <w:rPr>
          <w:b/>
        </w:rPr>
      </w:pPr>
    </w:p>
    <w:p w:rsidR="00C562C8" w:rsidRDefault="00C562C8" w:rsidP="00C562C8">
      <w:pPr>
        <w:rPr>
          <w:b/>
        </w:rPr>
      </w:pPr>
    </w:p>
    <w:p w:rsidR="00C562C8" w:rsidRDefault="00C562C8" w:rsidP="00C562C8">
      <w:pPr>
        <w:rPr>
          <w:b/>
        </w:rPr>
      </w:pPr>
      <w:r>
        <w:rPr>
          <w:b/>
        </w:rPr>
        <w:t>None</w:t>
      </w:r>
    </w:p>
    <w:p w:rsidR="00C562C8" w:rsidRDefault="00C562C8" w:rsidP="00C562C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532"/>
        <w:gridCol w:w="2197"/>
      </w:tblGrid>
      <w:tr w:rsidR="00C562C8" w:rsidTr="00C562C8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C8" w:rsidRDefault="00C562C8">
            <w:pPr>
              <w:rPr>
                <w:rFonts w:cs="Arial"/>
              </w:rPr>
            </w:pPr>
            <w:r>
              <w:rPr>
                <w:rFonts w:cs="Arial"/>
              </w:rPr>
              <w:t>Report Author: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C8" w:rsidRDefault="00C562C8">
            <w:pPr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C8" w:rsidRDefault="00C562C8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C562C8" w:rsidTr="00C562C8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  <w:i/>
                <w:color w:val="2E74B5" w:themeColor="accent1" w:themeShade="BF"/>
              </w:rPr>
            </w:pPr>
          </w:p>
          <w:p w:rsidR="00C562C8" w:rsidRDefault="00C562C8">
            <w:pPr>
              <w:rPr>
                <w:rFonts w:cs="Arial"/>
              </w:rPr>
            </w:pPr>
            <w:r>
              <w:rPr>
                <w:rFonts w:cs="Arial"/>
              </w:rPr>
              <w:t>Mark Marshall</w:t>
            </w:r>
          </w:p>
          <w:p w:rsidR="00C562C8" w:rsidRDefault="00C562C8">
            <w:pPr>
              <w:ind w:left="-539" w:firstLine="539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</w:rPr>
            </w:pPr>
          </w:p>
          <w:p w:rsidR="00C562C8" w:rsidRDefault="00C562C8">
            <w:pPr>
              <w:rPr>
                <w:rFonts w:cs="Arial"/>
              </w:rPr>
            </w:pPr>
            <w:r>
              <w:rPr>
                <w:rFonts w:cs="Arial"/>
              </w:rPr>
              <w:t>01772 625401</w:t>
            </w:r>
          </w:p>
          <w:p w:rsidR="00C562C8" w:rsidRDefault="00C562C8">
            <w:pPr>
              <w:rPr>
                <w:rFonts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8" w:rsidRDefault="00C562C8">
            <w:pPr>
              <w:rPr>
                <w:rFonts w:cs="Arial"/>
              </w:rPr>
            </w:pPr>
          </w:p>
          <w:p w:rsidR="00C562C8" w:rsidRDefault="006B237D" w:rsidP="00A61F2D">
            <w:pPr>
              <w:rPr>
                <w:rFonts w:cs="Arial"/>
              </w:rPr>
            </w:pPr>
            <w:r>
              <w:rPr>
                <w:rFonts w:cs="Arial"/>
              </w:rPr>
              <w:t>4 July</w:t>
            </w:r>
            <w:r w:rsidR="00C562C8">
              <w:rPr>
                <w:rFonts w:cs="Arial"/>
              </w:rPr>
              <w:t xml:space="preserve"> 2018</w:t>
            </w:r>
          </w:p>
        </w:tc>
      </w:tr>
    </w:tbl>
    <w:p w:rsidR="00C562C8" w:rsidRDefault="00C562C8" w:rsidP="00C562C8">
      <w:pPr>
        <w:tabs>
          <w:tab w:val="left" w:pos="2839"/>
        </w:tabs>
        <w:rPr>
          <w:rFonts w:cs="Arial"/>
        </w:rPr>
      </w:pPr>
    </w:p>
    <w:p w:rsidR="00D133F4" w:rsidRDefault="00D133F4"/>
    <w:sectPr w:rsidR="00D1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5E0A3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C8"/>
    <w:rsid w:val="000A3CED"/>
    <w:rsid w:val="0027509C"/>
    <w:rsid w:val="006B237D"/>
    <w:rsid w:val="00983DB0"/>
    <w:rsid w:val="009C2401"/>
    <w:rsid w:val="00A61F2D"/>
    <w:rsid w:val="00C562C8"/>
    <w:rsid w:val="00CF122A"/>
    <w:rsid w:val="00D133F4"/>
    <w:rsid w:val="00D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00969-797C-4AFD-A832-5F38761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C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62C8"/>
    <w:pPr>
      <w:widowControl w:val="0"/>
      <w:tabs>
        <w:tab w:val="left" w:pos="540"/>
      </w:tabs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562C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562C8"/>
    <w:pPr>
      <w:widowControl w:val="0"/>
      <w:tabs>
        <w:tab w:val="left" w:pos="709"/>
      </w:tabs>
      <w:ind w:left="709" w:hanging="709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62C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562C8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3">
    <w:name w:val="Style3"/>
    <w:basedOn w:val="Normal"/>
    <w:next w:val="Normal"/>
    <w:rsid w:val="00C562C8"/>
    <w:pPr>
      <w:widowControl w:val="0"/>
      <w:tabs>
        <w:tab w:val="left" w:pos="540"/>
      </w:tabs>
      <w:jc w:val="both"/>
      <w:outlineLvl w:val="0"/>
    </w:pPr>
    <w:rPr>
      <w:bCs/>
      <w:iCs/>
      <w:spacing w:val="-6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F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Marshall</dc:creator>
  <cp:keywords/>
  <dc:description/>
  <cp:lastModifiedBy>Scambler, Dianne</cp:lastModifiedBy>
  <cp:revision>2</cp:revision>
  <dcterms:created xsi:type="dcterms:W3CDTF">2018-07-16T10:13:00Z</dcterms:created>
  <dcterms:modified xsi:type="dcterms:W3CDTF">2018-07-16T10:13:00Z</dcterms:modified>
</cp:coreProperties>
</file>